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19045" t="0" r="952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тридцять шоста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сесія сьомого скликання)</w:t>
      </w:r>
      <w:r/>
    </w:p>
    <w:p>
      <w:pPr>
        <w:ind w:left="15" w:hanging="12"/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</w: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26 грудня 2019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ab/>
        <w:t xml:space="preserve">№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692</w:t>
      </w:r>
      <w:r/>
    </w:p>
    <w:p>
      <w:pPr>
        <w:ind w:left="0" w:right="5244" w:hanging="0"/>
        <w:jc w:val="both"/>
        <w:spacing w:lineRule="auto" w:line="240" w:after="6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/>
    </w:p>
    <w:p>
      <w:pPr>
        <w:ind w:firstLine="397"/>
        <w:jc w:val="both"/>
        <w:spacing w:lineRule="auto" w:line="240" w:after="0" w:before="142" w:beforeAutospacing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п.22 ч.1 ст.26 Закону України “Про місцеве самоврядування в Україні” та Законом України “Про державне прогнозування та розроблення програм економічного та соціального розвитку України”, з метою зміцнення зв’язків між містом Мена та містами-партнер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ами, вивчення досвіду діяльності органів місцевого самоврядування різних країн, розвитку співпраці у різних сферах життєдіяльності міст, враховуючи пропозиції постійної комісії з питань соціально-економічного розвитку, бюджету, соціального захисту та підпри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ємництва, Менська міська рада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:</w:t>
      </w:r>
      <w:r>
        <w:rPr>
          <w:b/>
        </w:rPr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розвитку міжнародного співробітництва та партнерства Менської міської об’єднаної територіальної громади Чернігівської області на 2020-2022 роки (далі – Програма) згідно з додатком до даного рішення (додається)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заходів передбачених Програмою здійснювати з врахуванням показників бюджету громади. 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Працівникам апарату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ради забезпечити виконання завдань, передбачених Програмою.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заступників міського голови з питань діяльності виконкому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br w:type="page"/>
      </w:r>
      <w:r/>
    </w:p>
    <w:p>
      <w:pPr>
        <w:ind w:left="595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Додаток до рішення 36 сесії Менської міської ради 7 скликання від 26.12.2019 </w:t>
      </w:r>
      <w:r>
        <w:rPr>
          <w:rFonts w:ascii="Times New Roman" w:hAnsi="Times New Roman" w:cs="Times New Roman" w:eastAsia="Times New Roman"/>
          <w:color w:val="000000"/>
        </w:rPr>
        <w:t xml:space="preserve">«Про затвердження </w:t>
      </w:r>
      <w:r>
        <w:rPr>
          <w:rFonts w:ascii="Times New Roman" w:hAnsi="Times New Roman" w:cs="Times New Roman" w:eastAsia="Times New Roman"/>
          <w:color w:val="000000"/>
        </w:rPr>
        <w:t xml:space="preserve">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роки» №692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торіальної громади Чернігівської області на 2020-2022 роки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 (далі – Програма) розроблена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Конституції України та Закону України „Про місцеве самоврядування в Україні”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економічна дестабілізація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суттєво послабили соціально-економічну та фінансову бази малих міст.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об’єднаної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об’єднаної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спрямована Програма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прямованого та стабільного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яке має забезпечити створення у світі сприятливого інформаційного простору для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тичного та соціально-економічного розвитку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об’єднаної територіальної громади та її населених пунктів з іноземними регіонами та містами/громадами є фактором, який безпосередньо впливає на розвиток нашої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 сприяє задоволенню його зовнішньополітичних та зовнішньо-економічних потреб, розв'язанню внутрішніх соціально-економічних проблем. Формування позитивного міжнародного іміджу громади є необхідним для забезпечення захисту його стратегічних інтересів, дотр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стратегічного курсу на євроінтеграцію, успішної конкурентної боротьби на міжнародних ринках.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 міжрегіонального співробітництва є найдієвішими інструментами соціально-економічного розвитку громади, а також вирішення актуальни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проблем.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об’єднаної територіальної громади та населених пунктів Менської міської об’єднаної територіально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громади, для їх розв’язання необхідне розроблення та прийняття відповідної Програми. Прийняття цієї Програми спрямовано на:</w:t>
      </w:r>
      <w:r/>
    </w:p>
    <w:p>
      <w:pPr>
        <w:numPr>
          <w:ilvl w:val="0"/>
          <w:numId w:val="8"/>
        </w:numPr>
        <w:ind w:left="0" w:hanging="0"/>
        <w:jc w:val="both"/>
        <w:spacing w:lineRule="auto" w:line="24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об’єднаної територіальної громади та населених пунктів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об’єднаної територіальної громади, яке має забезпечити створення відповідного інформаційного простору, сприятливого для підвищення ефективності співробітництва та зростання надходження іноземних інвестицій в економіку громади та регіону;</w:t>
      </w:r>
      <w:r/>
    </w:p>
    <w:p>
      <w:pPr>
        <w:numPr>
          <w:ilvl w:val="0"/>
          <w:numId w:val="8"/>
        </w:numPr>
        <w:ind w:left="0" w:hanging="0"/>
        <w:jc w:val="both"/>
        <w:spacing w:lineRule="auto" w:line="24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(далі – Договір) та з метою налагодження нових контактів і поглиблення взаємовідносин.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зв’язків.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місцевої зовнішньої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тики, а також участі керівництва громади, підпорядкованих відділів, підприємств, установ, організацій у різноманітних міжнародних виставках, конференціях, семінарах, проведення в місті Мена та населених пунктах громади аналогічних заходів, обмін робочими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об’єднаної територіальної громади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нується здійснювати за допомогою публікацій на офіційному сайті міської ради та співпраці з місцевими ЗМІ, встановлення інформативних стендів на території населених пунктів громади та у культурно-освітніх закладах, робота з молоддю.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прямки діяльності Програми: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</w:t>
      </w:r>
      <w:r>
        <w:rPr>
          <w:rFonts w:ascii="Times New Roman" w:hAnsi="Times New Roman" w:cs="Times New Roman" w:eastAsia="Times New Roman"/>
          <w:sz w:val="28"/>
        </w:rPr>
        <w:t xml:space="preserve">про нашу громаду;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підприємництва, житлово-комунального господарства, туризму, охорони здоров’я та спорту;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і розширення безпосередніх контактів між мешканцями;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</w:t>
      </w:r>
      <w:r>
        <w:rPr>
          <w:rFonts w:ascii="Times New Roman" w:hAnsi="Times New Roman" w:cs="Times New Roman" w:eastAsia="Times New Roman"/>
          <w:sz w:val="28"/>
        </w:rPr>
        <w:t xml:space="preserve"> молодіжними делегаціями;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</w:t>
      </w:r>
      <w:r>
        <w:rPr>
          <w:rFonts w:ascii="Times New Roman" w:hAnsi="Times New Roman" w:cs="Times New Roman" w:eastAsia="Times New Roman"/>
          <w:sz w:val="28"/>
        </w:rPr>
        <w:t xml:space="preserve">що);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спільне 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проектів співробітництва.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 продукції та презентаційних матеріалів, які використовуватимуться при офіційних зустрічах;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символіки громад-партнерів;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 необхідні для зустрічі та супроводу офіційних делегацій;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 пов’язаних з візитом офіційної делегації Менської міської об’єднаної територіальної громади до громад-партнерів;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 для проведення міжнародних зустрічей, семінарів, презентацій, конференцій, культурно-мистецьких, спортивних заходів тощо;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 заходів, міжнародних зустрічей,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інарів, презентацій, конференцій інших масових заходів за участі офіційних делегацій громад-партнерів або інших міжнародних партнерських організацій;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 перебуванням делегацій з іноземних містами/громадами та візитами офіційної делегації Менської міської об’єднаної територіальної громади до громад-партнерів.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2020-2022 роки складає по 150 тис.грн. щорічно.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2020-2022 року.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півробітництва з громадами-партнерами, міжнародними організаціям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об’єднаної територіальної гро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нові контакти і поглибити вже встановленні взаємовідносини;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свід роботи колег з громад-партнерів та впроваджувати цікаві прогресивні ідеї в нашій громаді;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можливість презентувати нашу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Lohit Hindi">
    <w:panose1 w:val="0206080305060502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1"/>
      </w:pPr>
    </w:lvl>
    <w:lvl w:ilvl="1">
      <w:start w:val="1"/>
      <w:numFmt w:val="lowerLetter"/>
      <w:suff w:val="tab"/>
      <w:lvlText w:val="%2."/>
      <w:lvlJc w:val="left"/>
      <w:pPr>
        <w:ind w:left="1440" w:hanging="351"/>
      </w:pPr>
    </w:lvl>
    <w:lvl w:ilvl="2">
      <w:start w:val="1"/>
      <w:numFmt w:val="lowerRoman"/>
      <w:suff w:val="tab"/>
      <w:lvlText w:val="%3."/>
      <w:lvlJc w:val="right"/>
      <w:pPr>
        <w:ind w:left="2160" w:hanging="171"/>
      </w:pPr>
    </w:lvl>
    <w:lvl w:ilvl="3">
      <w:start w:val="1"/>
      <w:numFmt w:val="decimal"/>
      <w:suff w:val="tab"/>
      <w:lvlText w:val="%4."/>
      <w:lvlJc w:val="left"/>
      <w:pPr>
        <w:ind w:left="2880" w:hanging="351"/>
      </w:pPr>
    </w:lvl>
    <w:lvl w:ilvl="4">
      <w:start w:val="1"/>
      <w:numFmt w:val="lowerLetter"/>
      <w:suff w:val="tab"/>
      <w:lvlText w:val="%5."/>
      <w:lvlJc w:val="left"/>
      <w:pPr>
        <w:ind w:left="3600" w:hanging="351"/>
      </w:pPr>
    </w:lvl>
    <w:lvl w:ilvl="5">
      <w:start w:val="1"/>
      <w:numFmt w:val="lowerRoman"/>
      <w:suff w:val="tab"/>
      <w:lvlText w:val="%6."/>
      <w:lvlJc w:val="right"/>
      <w:pPr>
        <w:ind w:left="4320" w:hanging="171"/>
      </w:pPr>
    </w:lvl>
    <w:lvl w:ilvl="6">
      <w:start w:val="1"/>
      <w:numFmt w:val="decimal"/>
      <w:suff w:val="tab"/>
      <w:lvlText w:val="%7."/>
      <w:lvlJc w:val="left"/>
      <w:pPr>
        <w:ind w:left="5040" w:hanging="351"/>
      </w:pPr>
    </w:lvl>
    <w:lvl w:ilvl="7">
      <w:start w:val="1"/>
      <w:numFmt w:val="lowerLetter"/>
      <w:suff w:val="tab"/>
      <w:lvlText w:val="%8."/>
      <w:lvlJc w:val="left"/>
      <w:pPr>
        <w:ind w:left="5760" w:hanging="351"/>
      </w:pPr>
    </w:lvl>
    <w:lvl w:ilvl="8">
      <w:start w:val="1"/>
      <w:numFmt w:val="lowerRoman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bullet"/>
      <w:suff w:val="tab"/>
      <w:lvlText w:val=""/>
      <w:lvlJc w:val="left"/>
      <w:pPr>
        <w:ind w:left="0" w:hanging="0"/>
      </w:pPr>
    </w:lvl>
    <w:lvl w:ilvl="2">
      <w:start w:val="1"/>
      <w:numFmt w:val="bullet"/>
      <w:suff w:val="tab"/>
      <w:lvlText w:val=""/>
      <w:lvlJc w:val="left"/>
      <w:pPr>
        <w:ind w:left="0" w:hanging="0"/>
      </w:pPr>
    </w:lvl>
    <w:lvl w:ilvl="3">
      <w:start w:val="1"/>
      <w:numFmt w:val="bullet"/>
      <w:suff w:val="tab"/>
      <w:lvlText w:val=""/>
      <w:lvlJc w:val="left"/>
      <w:pPr>
        <w:ind w:left="0" w:hanging="0"/>
      </w:pPr>
    </w:lvl>
    <w:lvl w:ilvl="4">
      <w:start w:val="1"/>
      <w:numFmt w:val="bullet"/>
      <w:suff w:val="tab"/>
      <w:lvlText w:val=""/>
      <w:lvlJc w:val="left"/>
      <w:pPr>
        <w:ind w:left="0" w:hanging="0"/>
      </w:pPr>
    </w:lvl>
    <w:lvl w:ilvl="5">
      <w:start w:val="1"/>
      <w:numFmt w:val="bullet"/>
      <w:suff w:val="tab"/>
      <w:lvlText w:val=""/>
      <w:lvlJc w:val="left"/>
      <w:pPr>
        <w:ind w:left="0" w:hanging="0"/>
      </w:pPr>
    </w:lvl>
    <w:lvl w:ilvl="6">
      <w:start w:val="1"/>
      <w:numFmt w:val="bullet"/>
      <w:suff w:val="tab"/>
      <w:lvlText w:val=""/>
      <w:lvlJc w:val="left"/>
      <w:pPr>
        <w:ind w:left="0" w:hanging="0"/>
      </w:pPr>
    </w:lvl>
    <w:lvl w:ilvl="7">
      <w:start w:val="1"/>
      <w:numFmt w:val="bullet"/>
      <w:suff w:val="tab"/>
      <w:lvlText w:val=""/>
      <w:lvlJc w:val="left"/>
      <w:pPr>
        <w:ind w:left="0" w:hanging="0"/>
      </w:pPr>
    </w:lvl>
    <w:lvl w:ilvl="8">
      <w:start w:val="1"/>
      <w:numFmt w:val="bullet"/>
      <w:suff w:val="tab"/>
      <w:lvlText w:val=""/>
      <w:lvlJc w:val="left"/>
      <w:pPr>
        <w:ind w:left="0" w:hanging="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4" w:default="1">
    <w:name w:val="Normal"/>
    <w:qFormat/>
  </w:style>
  <w:style w:type="paragraph" w:styleId="195">
    <w:name w:val="Heading 1"/>
    <w:basedOn w:val="194"/>
    <w:next w:val="194"/>
    <w:link w:val="2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96">
    <w:name w:val="Heading 2"/>
    <w:basedOn w:val="194"/>
    <w:next w:val="194"/>
    <w:link w:val="2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97">
    <w:name w:val="Heading 3"/>
    <w:basedOn w:val="194"/>
    <w:next w:val="194"/>
    <w:link w:val="2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98">
    <w:name w:val="Heading 4"/>
    <w:basedOn w:val="194"/>
    <w:next w:val="194"/>
    <w:link w:val="2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99">
    <w:name w:val="Heading 5"/>
    <w:basedOn w:val="194"/>
    <w:next w:val="194"/>
    <w:link w:val="2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200">
    <w:name w:val="Heading 6"/>
    <w:basedOn w:val="194"/>
    <w:next w:val="194"/>
    <w:link w:val="2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201">
    <w:name w:val="Heading 7"/>
    <w:basedOn w:val="194"/>
    <w:next w:val="194"/>
    <w:link w:val="2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202">
    <w:name w:val="Heading 8"/>
    <w:basedOn w:val="194"/>
    <w:next w:val="194"/>
    <w:link w:val="2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203">
    <w:name w:val="Heading 9"/>
    <w:basedOn w:val="194"/>
    <w:next w:val="194"/>
    <w:link w:val="2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04" w:default="1">
    <w:name w:val="Default Paragraph Font"/>
    <w:uiPriority w:val="1"/>
    <w:semiHidden/>
    <w:unhideWhenUsed/>
  </w:style>
  <w:style w:type="table" w:styleId="2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6" w:default="1">
    <w:name w:val="No List"/>
    <w:uiPriority w:val="99"/>
    <w:semiHidden/>
    <w:unhideWhenUsed/>
  </w:style>
  <w:style w:type="character" w:styleId="207" w:customStyle="1">
    <w:name w:val="Heading 1 Char"/>
    <w:basedOn w:val="204"/>
    <w:uiPriority w:val="9"/>
    <w:rPr>
      <w:rFonts w:ascii="Arial" w:hAnsi="Arial" w:cs="Arial" w:eastAsia="Arial"/>
      <w:sz w:val="40"/>
      <w:szCs w:val="40"/>
    </w:rPr>
  </w:style>
  <w:style w:type="character" w:styleId="208" w:customStyle="1">
    <w:name w:val="Heading 2 Char"/>
    <w:basedOn w:val="204"/>
    <w:uiPriority w:val="9"/>
    <w:rPr>
      <w:rFonts w:ascii="Arial" w:hAnsi="Arial" w:cs="Arial" w:eastAsia="Arial"/>
      <w:sz w:val="34"/>
    </w:rPr>
  </w:style>
  <w:style w:type="character" w:styleId="209" w:customStyle="1">
    <w:name w:val="Heading 3 Char"/>
    <w:basedOn w:val="204"/>
    <w:uiPriority w:val="9"/>
    <w:rPr>
      <w:rFonts w:ascii="Arial" w:hAnsi="Arial" w:cs="Arial" w:eastAsia="Arial"/>
      <w:sz w:val="30"/>
      <w:szCs w:val="30"/>
    </w:rPr>
  </w:style>
  <w:style w:type="character" w:styleId="210" w:customStyle="1">
    <w:name w:val="Heading 4 Char"/>
    <w:basedOn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11" w:customStyle="1">
    <w:name w:val="Heading 5 Char"/>
    <w:basedOn w:val="204"/>
    <w:uiPriority w:val="9"/>
    <w:rPr>
      <w:rFonts w:ascii="Arial" w:hAnsi="Arial" w:cs="Arial" w:eastAsia="Arial"/>
      <w:b/>
      <w:bCs/>
      <w:sz w:val="24"/>
      <w:szCs w:val="24"/>
    </w:rPr>
  </w:style>
  <w:style w:type="character" w:styleId="212" w:customStyle="1">
    <w:name w:val="Heading 6 Char"/>
    <w:basedOn w:val="204"/>
    <w:uiPriority w:val="9"/>
    <w:rPr>
      <w:rFonts w:ascii="Arial" w:hAnsi="Arial" w:cs="Arial" w:eastAsia="Arial"/>
      <w:b/>
      <w:bCs/>
      <w:sz w:val="22"/>
      <w:szCs w:val="22"/>
    </w:rPr>
  </w:style>
  <w:style w:type="character" w:styleId="213" w:customStyle="1">
    <w:name w:val="Heading 7 Char"/>
    <w:basedOn w:val="2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4" w:customStyle="1">
    <w:name w:val="Heading 8 Char"/>
    <w:basedOn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215" w:customStyle="1">
    <w:name w:val="Heading 9 Char"/>
    <w:basedOn w:val="204"/>
    <w:uiPriority w:val="9"/>
    <w:rPr>
      <w:rFonts w:ascii="Arial" w:hAnsi="Arial" w:cs="Arial" w:eastAsia="Arial"/>
      <w:i/>
      <w:iCs/>
      <w:sz w:val="21"/>
      <w:szCs w:val="21"/>
    </w:rPr>
  </w:style>
  <w:style w:type="character" w:styleId="216" w:customStyle="1">
    <w:name w:val="Title Char"/>
    <w:basedOn w:val="204"/>
    <w:uiPriority w:val="10"/>
    <w:rPr>
      <w:sz w:val="48"/>
      <w:szCs w:val="48"/>
    </w:rPr>
  </w:style>
  <w:style w:type="character" w:styleId="217" w:customStyle="1">
    <w:name w:val="Subtitle Char"/>
    <w:basedOn w:val="204"/>
    <w:uiPriority w:val="11"/>
    <w:rPr>
      <w:sz w:val="24"/>
      <w:szCs w:val="24"/>
    </w:rPr>
  </w:style>
  <w:style w:type="character" w:styleId="218" w:customStyle="1">
    <w:name w:val="Quote Char"/>
    <w:uiPriority w:val="29"/>
    <w:rPr>
      <w:i/>
    </w:rPr>
  </w:style>
  <w:style w:type="character" w:styleId="219" w:customStyle="1">
    <w:name w:val="Intense Quote Char"/>
    <w:uiPriority w:val="30"/>
    <w:rPr>
      <w:i/>
    </w:rPr>
  </w:style>
  <w:style w:type="character" w:styleId="220" w:customStyle="1">
    <w:name w:val="Header Char"/>
    <w:basedOn w:val="204"/>
    <w:uiPriority w:val="99"/>
  </w:style>
  <w:style w:type="character" w:styleId="221" w:customStyle="1">
    <w:name w:val="Footer Char"/>
    <w:basedOn w:val="204"/>
    <w:uiPriority w:val="99"/>
  </w:style>
  <w:style w:type="character" w:styleId="222" w:customStyle="1">
    <w:name w:val="Footnote Text Char"/>
    <w:uiPriority w:val="99"/>
    <w:rPr>
      <w:sz w:val="18"/>
    </w:rPr>
  </w:style>
  <w:style w:type="character" w:styleId="223" w:customStyle="1">
    <w:name w:val="Заголовок 1 Знак"/>
    <w:basedOn w:val="204"/>
    <w:link w:val="195"/>
    <w:uiPriority w:val="9"/>
    <w:rPr>
      <w:rFonts w:ascii="Arial" w:hAnsi="Arial" w:cs="Arial" w:eastAsia="Arial"/>
      <w:sz w:val="40"/>
      <w:szCs w:val="40"/>
    </w:rPr>
  </w:style>
  <w:style w:type="character" w:styleId="224" w:customStyle="1">
    <w:name w:val="Заголовок 2 Знак"/>
    <w:basedOn w:val="204"/>
    <w:link w:val="196"/>
    <w:uiPriority w:val="9"/>
    <w:rPr>
      <w:rFonts w:ascii="Arial" w:hAnsi="Arial" w:cs="Arial" w:eastAsia="Arial"/>
      <w:sz w:val="34"/>
    </w:rPr>
  </w:style>
  <w:style w:type="character" w:styleId="225" w:customStyle="1">
    <w:name w:val="Заголовок 3 Знак"/>
    <w:basedOn w:val="204"/>
    <w:link w:val="197"/>
    <w:uiPriority w:val="9"/>
    <w:rPr>
      <w:rFonts w:ascii="Arial" w:hAnsi="Arial" w:cs="Arial" w:eastAsia="Arial"/>
      <w:sz w:val="30"/>
      <w:szCs w:val="30"/>
    </w:rPr>
  </w:style>
  <w:style w:type="character" w:styleId="226" w:customStyle="1">
    <w:name w:val="Заголовок 4 Знак"/>
    <w:basedOn w:val="204"/>
    <w:link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27" w:customStyle="1">
    <w:name w:val="Заголовок 5 Знак"/>
    <w:basedOn w:val="204"/>
    <w:link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228" w:customStyle="1">
    <w:name w:val="Заголовок 6 Знак"/>
    <w:basedOn w:val="204"/>
    <w:link w:val="200"/>
    <w:uiPriority w:val="9"/>
    <w:rPr>
      <w:rFonts w:ascii="Arial" w:hAnsi="Arial" w:cs="Arial" w:eastAsia="Arial"/>
      <w:b/>
      <w:bCs/>
      <w:sz w:val="22"/>
      <w:szCs w:val="22"/>
    </w:rPr>
  </w:style>
  <w:style w:type="character" w:styleId="229" w:customStyle="1">
    <w:name w:val="Заголовок 7 Знак"/>
    <w:basedOn w:val="204"/>
    <w:link w:val="2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0" w:customStyle="1">
    <w:name w:val="Заголовок 8 Знак"/>
    <w:basedOn w:val="204"/>
    <w:link w:val="202"/>
    <w:uiPriority w:val="9"/>
    <w:rPr>
      <w:rFonts w:ascii="Arial" w:hAnsi="Arial" w:cs="Arial" w:eastAsia="Arial"/>
      <w:i/>
      <w:iCs/>
      <w:sz w:val="22"/>
      <w:szCs w:val="22"/>
    </w:rPr>
  </w:style>
  <w:style w:type="character" w:styleId="231" w:customStyle="1">
    <w:name w:val="Заголовок 9 Знак"/>
    <w:basedOn w:val="204"/>
    <w:link w:val="203"/>
    <w:uiPriority w:val="9"/>
    <w:rPr>
      <w:rFonts w:ascii="Arial" w:hAnsi="Arial" w:cs="Arial" w:eastAsia="Arial"/>
      <w:i/>
      <w:iCs/>
      <w:sz w:val="21"/>
      <w:szCs w:val="21"/>
    </w:rPr>
  </w:style>
  <w:style w:type="paragraph" w:styleId="232">
    <w:name w:val="List Paragraph"/>
    <w:basedOn w:val="194"/>
    <w:qFormat/>
    <w:uiPriority w:val="34"/>
    <w:pPr>
      <w:contextualSpacing w:val="true"/>
      <w:ind w:left="720"/>
    </w:pPr>
  </w:style>
  <w:style w:type="paragraph" w:styleId="233">
    <w:name w:val="No Spacing"/>
    <w:qFormat/>
    <w:uiPriority w:val="1"/>
    <w:pPr>
      <w:spacing w:lineRule="auto" w:line="240" w:after="0"/>
    </w:pPr>
  </w:style>
  <w:style w:type="paragraph" w:styleId="234">
    <w:name w:val="Title"/>
    <w:basedOn w:val="194"/>
    <w:next w:val="194"/>
    <w:link w:val="23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35" w:customStyle="1">
    <w:name w:val="Назва Знак"/>
    <w:basedOn w:val="204"/>
    <w:link w:val="234"/>
    <w:uiPriority w:val="10"/>
    <w:rPr>
      <w:sz w:val="48"/>
      <w:szCs w:val="48"/>
    </w:rPr>
  </w:style>
  <w:style w:type="paragraph" w:styleId="236">
    <w:name w:val="Subtitle"/>
    <w:basedOn w:val="194"/>
    <w:next w:val="194"/>
    <w:link w:val="237"/>
    <w:qFormat/>
    <w:uiPriority w:val="11"/>
    <w:rPr>
      <w:sz w:val="24"/>
      <w:szCs w:val="24"/>
    </w:rPr>
    <w:pPr>
      <w:spacing w:before="200"/>
    </w:pPr>
  </w:style>
  <w:style w:type="character" w:styleId="237" w:customStyle="1">
    <w:name w:val="Підзаголовок Знак"/>
    <w:basedOn w:val="204"/>
    <w:link w:val="236"/>
    <w:uiPriority w:val="11"/>
    <w:rPr>
      <w:sz w:val="24"/>
      <w:szCs w:val="24"/>
    </w:rPr>
  </w:style>
  <w:style w:type="paragraph" w:styleId="238">
    <w:name w:val="Quote"/>
    <w:basedOn w:val="194"/>
    <w:next w:val="194"/>
    <w:link w:val="239"/>
    <w:qFormat/>
    <w:uiPriority w:val="29"/>
    <w:rPr>
      <w:i/>
    </w:rPr>
    <w:pPr>
      <w:ind w:left="720" w:right="720"/>
    </w:pPr>
  </w:style>
  <w:style w:type="character" w:styleId="239" w:customStyle="1">
    <w:name w:val="Цитата Знак"/>
    <w:link w:val="238"/>
    <w:uiPriority w:val="29"/>
    <w:rPr>
      <w:i/>
    </w:rPr>
  </w:style>
  <w:style w:type="paragraph" w:styleId="240">
    <w:name w:val="Intense Quote"/>
    <w:basedOn w:val="194"/>
    <w:next w:val="194"/>
    <w:link w:val="2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1" w:customStyle="1">
    <w:name w:val="Насичена цитата Знак"/>
    <w:link w:val="240"/>
    <w:uiPriority w:val="30"/>
    <w:rPr>
      <w:i/>
    </w:rPr>
  </w:style>
  <w:style w:type="paragraph" w:styleId="242">
    <w:name w:val="Header"/>
    <w:basedOn w:val="194"/>
    <w:link w:val="2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3" w:customStyle="1">
    <w:name w:val="Верхній колонтитул Знак"/>
    <w:basedOn w:val="204"/>
    <w:link w:val="242"/>
    <w:uiPriority w:val="99"/>
  </w:style>
  <w:style w:type="paragraph" w:styleId="244">
    <w:name w:val="Footer"/>
    <w:basedOn w:val="194"/>
    <w:link w:val="2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5" w:customStyle="1">
    <w:name w:val="Нижній колонтитул Знак"/>
    <w:basedOn w:val="204"/>
    <w:link w:val="244"/>
    <w:uiPriority w:val="99"/>
  </w:style>
  <w:style w:type="table" w:styleId="246">
    <w:name w:val="Table Grid"/>
    <w:basedOn w:val="2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47" w:customStyle="1">
    <w:name w:val="Lined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8" w:customStyle="1">
    <w:name w:val="Lined - Accent 1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9" w:customStyle="1">
    <w:name w:val="Lined - Accent 2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0" w:customStyle="1">
    <w:name w:val="Lined - Accent 3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1" w:customStyle="1">
    <w:name w:val="Lined - Accent 4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2" w:customStyle="1">
    <w:name w:val="Lined - Accent 5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3" w:customStyle="1">
    <w:name w:val="Lined - Accent 6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4" w:customStyle="1">
    <w:name w:val="Bordered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5" w:customStyle="1">
    <w:name w:val="Bordered - Accent 1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6" w:customStyle="1">
    <w:name w:val="Bordered - Accent 2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7" w:customStyle="1">
    <w:name w:val="Bordered - Accent 3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8" w:customStyle="1">
    <w:name w:val="Bordered - Accent 4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9" w:customStyle="1">
    <w:name w:val="Bordered - Accent 5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0" w:customStyle="1">
    <w:name w:val="Bordered - Accent 6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1" w:customStyle="1">
    <w:name w:val="Bordered &amp; Lined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2" w:customStyle="1">
    <w:name w:val="Bordered &amp; Lined - Accent 1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3" w:customStyle="1">
    <w:name w:val="Bordered &amp; Lined - Accent 2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4" w:customStyle="1">
    <w:name w:val="Bordered &amp; Lined - Accent 3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5" w:customStyle="1">
    <w:name w:val="Bordered &amp; Lined - Accent 4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6" w:customStyle="1">
    <w:name w:val="Bordered &amp; Lined - Accent 5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7" w:customStyle="1">
    <w:name w:val="Bordered &amp; Lined - Accent 6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8">
    <w:name w:val="Hyperlink"/>
    <w:uiPriority w:val="99"/>
    <w:unhideWhenUsed/>
    <w:rPr>
      <w:color w:val="0000FF" w:themeColor="hyperlink"/>
      <w:u w:val="single"/>
    </w:rPr>
  </w:style>
  <w:style w:type="paragraph" w:styleId="269">
    <w:name w:val="footnote text"/>
    <w:basedOn w:val="194"/>
    <w:link w:val="270"/>
    <w:uiPriority w:val="99"/>
    <w:semiHidden/>
    <w:unhideWhenUsed/>
    <w:rPr>
      <w:sz w:val="18"/>
    </w:rPr>
    <w:pPr>
      <w:spacing w:lineRule="auto" w:line="240" w:after="40"/>
    </w:pPr>
  </w:style>
  <w:style w:type="character" w:styleId="270" w:customStyle="1">
    <w:name w:val="Текст виноски Знак"/>
    <w:link w:val="269"/>
    <w:uiPriority w:val="99"/>
    <w:rPr>
      <w:sz w:val="18"/>
    </w:rPr>
  </w:style>
  <w:style w:type="character" w:styleId="271">
    <w:name w:val="footnote reference"/>
    <w:basedOn w:val="204"/>
    <w:uiPriority w:val="99"/>
    <w:unhideWhenUsed/>
    <w:rPr>
      <w:vertAlign w:val="superscript"/>
    </w:rPr>
  </w:style>
  <w:style w:type="paragraph" w:styleId="272">
    <w:name w:val="toc 1"/>
    <w:basedOn w:val="194"/>
    <w:next w:val="194"/>
    <w:uiPriority w:val="39"/>
    <w:unhideWhenUsed/>
    <w:pPr>
      <w:spacing w:after="57"/>
    </w:pPr>
  </w:style>
  <w:style w:type="paragraph" w:styleId="273">
    <w:name w:val="toc 2"/>
    <w:basedOn w:val="194"/>
    <w:next w:val="194"/>
    <w:uiPriority w:val="39"/>
    <w:unhideWhenUsed/>
    <w:pPr>
      <w:ind w:left="283"/>
      <w:spacing w:after="57"/>
    </w:pPr>
  </w:style>
  <w:style w:type="paragraph" w:styleId="274">
    <w:name w:val="toc 3"/>
    <w:basedOn w:val="194"/>
    <w:next w:val="194"/>
    <w:uiPriority w:val="39"/>
    <w:unhideWhenUsed/>
    <w:pPr>
      <w:ind w:left="567"/>
      <w:spacing w:after="57"/>
    </w:pPr>
  </w:style>
  <w:style w:type="paragraph" w:styleId="275">
    <w:name w:val="toc 4"/>
    <w:basedOn w:val="194"/>
    <w:next w:val="194"/>
    <w:uiPriority w:val="39"/>
    <w:unhideWhenUsed/>
    <w:pPr>
      <w:ind w:left="850"/>
      <w:spacing w:after="57"/>
    </w:pPr>
  </w:style>
  <w:style w:type="paragraph" w:styleId="276">
    <w:name w:val="toc 5"/>
    <w:basedOn w:val="194"/>
    <w:next w:val="194"/>
    <w:uiPriority w:val="39"/>
    <w:unhideWhenUsed/>
    <w:pPr>
      <w:ind w:left="1134"/>
      <w:spacing w:after="57"/>
    </w:pPr>
  </w:style>
  <w:style w:type="paragraph" w:styleId="277">
    <w:name w:val="toc 6"/>
    <w:basedOn w:val="194"/>
    <w:next w:val="194"/>
    <w:uiPriority w:val="39"/>
    <w:unhideWhenUsed/>
    <w:pPr>
      <w:ind w:left="1417"/>
      <w:spacing w:after="57"/>
    </w:pPr>
  </w:style>
  <w:style w:type="paragraph" w:styleId="278">
    <w:name w:val="toc 7"/>
    <w:basedOn w:val="194"/>
    <w:next w:val="194"/>
    <w:uiPriority w:val="39"/>
    <w:unhideWhenUsed/>
    <w:pPr>
      <w:ind w:left="1701"/>
      <w:spacing w:after="57"/>
    </w:pPr>
  </w:style>
  <w:style w:type="paragraph" w:styleId="279">
    <w:name w:val="toc 8"/>
    <w:basedOn w:val="194"/>
    <w:next w:val="194"/>
    <w:uiPriority w:val="39"/>
    <w:unhideWhenUsed/>
    <w:pPr>
      <w:ind w:left="1984"/>
      <w:spacing w:after="57"/>
    </w:pPr>
  </w:style>
  <w:style w:type="paragraph" w:styleId="280">
    <w:name w:val="toc 9"/>
    <w:basedOn w:val="194"/>
    <w:next w:val="194"/>
    <w:uiPriority w:val="39"/>
    <w:unhideWhenUsed/>
    <w:pPr>
      <w:ind w:left="2268"/>
      <w:spacing w:after="57"/>
    </w:pPr>
  </w:style>
  <w:style w:type="paragraph" w:styleId="281">
    <w:name w:val="TOC Heading"/>
    <w:uiPriority w:val="39"/>
    <w:unhideWhenUsed/>
  </w:style>
  <w:style w:type="paragraph" w:styleId="282">
    <w:name w:val="Balloon Text"/>
    <w:basedOn w:val="194"/>
    <w:link w:val="2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83" w:customStyle="1">
    <w:name w:val="Текст у виносці Знак"/>
    <w:basedOn w:val="204"/>
    <w:link w:val="28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